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SoftServe presenta </w:t>
      </w:r>
      <w:r w:rsidDel="00000000" w:rsidR="00000000" w:rsidRPr="00000000">
        <w:rPr>
          <w:b w:val="1"/>
          <w:i w:val="1"/>
          <w:rtl w:val="0"/>
        </w:rPr>
        <w:t xml:space="preserve">“Sage, the AI Pathfinder”</w:t>
      </w:r>
      <w:r w:rsidDel="00000000" w:rsidR="00000000" w:rsidRPr="00000000">
        <w:rPr>
          <w:b w:val="1"/>
          <w:rtl w:val="0"/>
        </w:rPr>
        <w:t xml:space="preserve">, la revolución inteligente en consultoría financiera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b w:val="1"/>
          <w:sz w:val="20"/>
          <w:szCs w:val="20"/>
          <w:rtl w:val="0"/>
        </w:rPr>
        <w:t xml:space="preserve">Ciudad de México, </w:t>
      </w:r>
      <w:r w:rsidDel="00000000" w:rsidR="00000000" w:rsidRPr="00000000">
        <w:rPr>
          <w:b w:val="1"/>
          <w:sz w:val="20"/>
          <w:szCs w:val="20"/>
          <w:rtl w:val="0"/>
        </w:rPr>
        <w:t xml:space="preserve">17</w:t>
      </w:r>
      <w:r w:rsidDel="00000000" w:rsidR="00000000" w:rsidRPr="00000000">
        <w:rPr>
          <w:b w:val="1"/>
          <w:sz w:val="20"/>
          <w:szCs w:val="20"/>
          <w:rtl w:val="0"/>
        </w:rPr>
        <w:t xml:space="preserve"> de octubre de 2023.-</w:t>
      </w:r>
      <w:r w:rsidDel="00000000" w:rsidR="00000000" w:rsidRPr="00000000">
        <w:rPr>
          <w:sz w:val="20"/>
          <w:szCs w:val="20"/>
          <w:rtl w:val="0"/>
        </w:rPr>
        <w:t xml:space="preserve"> Durante la próxima edición de </w:t>
      </w:r>
      <w:r w:rsidDel="00000000" w:rsidR="00000000" w:rsidRPr="00000000">
        <w:rPr>
          <w:b w:val="1"/>
          <w:sz w:val="20"/>
          <w:szCs w:val="20"/>
          <w:rtl w:val="0"/>
        </w:rPr>
        <w:t xml:space="preserve">Money20/20 USA</w:t>
      </w:r>
      <w:r w:rsidDel="00000000" w:rsidR="00000000" w:rsidRPr="00000000">
        <w:rPr>
          <w:sz w:val="20"/>
          <w:szCs w:val="20"/>
          <w:rtl w:val="0"/>
        </w:rPr>
        <w:t xml:space="preserve"> (22 al 25 de octubre, Las Vegas), la compañía líder en servicios digitales y consultoría de tecnologías de la información (TI) </w:t>
      </w:r>
      <w:hyperlink r:id="rId6">
        <w:r w:rsidDel="00000000" w:rsidR="00000000" w:rsidRPr="00000000">
          <w:rPr>
            <w:color w:val="1155cc"/>
            <w:sz w:val="20"/>
            <w:szCs w:val="20"/>
            <w:u w:val="single"/>
            <w:rtl w:val="0"/>
          </w:rPr>
          <w:t xml:space="preserve">SoftServe</w:t>
        </w:r>
      </w:hyperlink>
      <w:r w:rsidDel="00000000" w:rsidR="00000000" w:rsidRPr="00000000">
        <w:rPr>
          <w:sz w:val="20"/>
          <w:szCs w:val="20"/>
          <w:rtl w:val="0"/>
        </w:rPr>
        <w:t xml:space="preserve"> presentará oficialmente </w:t>
      </w:r>
      <w:r w:rsidDel="00000000" w:rsidR="00000000" w:rsidRPr="00000000">
        <w:rPr>
          <w:i w:val="1"/>
          <w:sz w:val="20"/>
          <w:szCs w:val="20"/>
          <w:rtl w:val="0"/>
        </w:rPr>
        <w:t xml:space="preserve">“</w:t>
      </w:r>
      <w:r w:rsidDel="00000000" w:rsidR="00000000" w:rsidRPr="00000000">
        <w:rPr>
          <w:b w:val="1"/>
          <w:i w:val="1"/>
          <w:sz w:val="20"/>
          <w:szCs w:val="20"/>
          <w:rtl w:val="0"/>
        </w:rPr>
        <w:t xml:space="preserve">Sage, the AI Pathfinder</w:t>
      </w:r>
      <w:r w:rsidDel="00000000" w:rsidR="00000000" w:rsidRPr="00000000">
        <w:rPr>
          <w:sz w:val="20"/>
          <w:szCs w:val="20"/>
          <w:rtl w:val="0"/>
        </w:rPr>
        <w:t xml:space="preserve">”, un nuevo consultor virtual a manera de avatar, impulsado por inteligencia artificial generativa (IAG) y desarrollado con Avatar Cloud Engine (</w:t>
      </w:r>
      <w:hyperlink r:id="rId7">
        <w:r w:rsidDel="00000000" w:rsidR="00000000" w:rsidRPr="00000000">
          <w:rPr>
            <w:color w:val="1155cc"/>
            <w:sz w:val="20"/>
            <w:szCs w:val="20"/>
            <w:u w:val="single"/>
            <w:rtl w:val="0"/>
          </w:rPr>
          <w:t xml:space="preserve">ACE</w:t>
        </w:r>
      </w:hyperlink>
      <w:r w:rsidDel="00000000" w:rsidR="00000000" w:rsidRPr="00000000">
        <w:rPr>
          <w:sz w:val="20"/>
          <w:szCs w:val="20"/>
          <w:rtl w:val="0"/>
        </w:rPr>
        <w:t xml:space="preserve">) de NVIDIA: un conjunto de soluciones de IA en tiempo real para crear e implantar personajes interactivos digitales en aplicaciones a escala.</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En un contexto donde el bienestar financiero es un reto para el </w:t>
      </w:r>
      <w:hyperlink r:id="rId8">
        <w:r w:rsidDel="00000000" w:rsidR="00000000" w:rsidRPr="00000000">
          <w:rPr>
            <w:color w:val="1155cc"/>
            <w:sz w:val="20"/>
            <w:szCs w:val="20"/>
            <w:u w:val="single"/>
            <w:rtl w:val="0"/>
          </w:rPr>
          <w:t xml:space="preserve">58% de los estadounidenses</w:t>
        </w:r>
      </w:hyperlink>
      <w:r w:rsidDel="00000000" w:rsidR="00000000" w:rsidRPr="00000000">
        <w:rPr>
          <w:sz w:val="20"/>
          <w:szCs w:val="20"/>
          <w:rtl w:val="0"/>
        </w:rPr>
        <w:t xml:space="preserve">, y que sólo el 51% posee más ahorros de emergencia que deudas por tarjetas de crédito, el objetivo de este avatar digital de IAG busca demostrar cómo las instituciones financieras pueden adoptar nuevas tecnologías para ofrecer a los clientes </w:t>
      </w:r>
      <w:r w:rsidDel="00000000" w:rsidR="00000000" w:rsidRPr="00000000">
        <w:rPr>
          <w:b w:val="1"/>
          <w:sz w:val="20"/>
          <w:szCs w:val="20"/>
          <w:rtl w:val="0"/>
        </w:rPr>
        <w:t xml:space="preserve">servicios de valor agregado</w:t>
      </w:r>
      <w:r w:rsidDel="00000000" w:rsidR="00000000" w:rsidRPr="00000000">
        <w:rPr>
          <w:sz w:val="20"/>
          <w:szCs w:val="20"/>
          <w:rtl w:val="0"/>
        </w:rPr>
        <w:t xml:space="preserve">.</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La falta de educación financiera es un gran problema actualmente. Para resolverlo, las tecnologías de inteligencia artificial generativa crean oportunidades educativas prometedoras, especialmente para los millennials, que son la generación con mayores dificultades financieras y que luchan por lograr una mayor salud económica</w:t>
      </w:r>
      <w:r w:rsidDel="00000000" w:rsidR="00000000" w:rsidRPr="00000000">
        <w:rPr>
          <w:sz w:val="20"/>
          <w:szCs w:val="20"/>
          <w:rtl w:val="0"/>
        </w:rPr>
        <w:t xml:space="preserve">”; explica </w:t>
      </w:r>
      <w:r w:rsidDel="00000000" w:rsidR="00000000" w:rsidRPr="00000000">
        <w:rPr>
          <w:b w:val="1"/>
          <w:sz w:val="20"/>
          <w:szCs w:val="20"/>
          <w:rtl w:val="0"/>
        </w:rPr>
        <w:t xml:space="preserve">Filippa Noghani</w:t>
      </w:r>
      <w:r w:rsidDel="00000000" w:rsidR="00000000" w:rsidRPr="00000000">
        <w:rPr>
          <w:sz w:val="20"/>
          <w:szCs w:val="20"/>
          <w:rtl w:val="0"/>
        </w:rPr>
        <w:t xml:space="preserve">, Vicepresidenta de Marketing de SoftServe y miembro de la Junta de Mujeres Fintech de NYC.</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i w:val="1"/>
          <w:sz w:val="20"/>
          <w:szCs w:val="20"/>
          <w:rtl w:val="0"/>
        </w:rPr>
        <w:t xml:space="preserve">“Sage, the AI Pathfinder” </w:t>
      </w:r>
      <w:r w:rsidDel="00000000" w:rsidR="00000000" w:rsidRPr="00000000">
        <w:rPr>
          <w:sz w:val="20"/>
          <w:szCs w:val="20"/>
          <w:rtl w:val="0"/>
        </w:rPr>
        <w:t xml:space="preserve">se optimizó con un </w:t>
      </w:r>
      <w:r w:rsidDel="00000000" w:rsidR="00000000" w:rsidRPr="00000000">
        <w:rPr>
          <w:b w:val="1"/>
          <w:sz w:val="20"/>
          <w:szCs w:val="20"/>
          <w:rtl w:val="0"/>
        </w:rPr>
        <w:t xml:space="preserve">módulo de ChatGPT personalizado</w:t>
      </w:r>
      <w:r w:rsidDel="00000000" w:rsidR="00000000" w:rsidRPr="00000000">
        <w:rPr>
          <w:sz w:val="20"/>
          <w:szCs w:val="20"/>
          <w:rtl w:val="0"/>
        </w:rPr>
        <w:t xml:space="preserve">, combinado con avatares visuales y contenido dinámico, ofreciendo procesamiento de información en tiempo real para la toma de decisiones interactiva y ofrecer </w:t>
      </w:r>
      <w:r w:rsidDel="00000000" w:rsidR="00000000" w:rsidRPr="00000000">
        <w:rPr>
          <w:b w:val="1"/>
          <w:sz w:val="20"/>
          <w:szCs w:val="20"/>
          <w:rtl w:val="0"/>
        </w:rPr>
        <w:t xml:space="preserve">recomendaciones financieras personalizadas</w:t>
      </w:r>
      <w:r w:rsidDel="00000000" w:rsidR="00000000" w:rsidRPr="00000000">
        <w:rPr>
          <w:sz w:val="20"/>
          <w:szCs w:val="20"/>
          <w:rtl w:val="0"/>
        </w:rPr>
        <w:t xml:space="preserve">. Empleando diversas soluciones de ACE, esta innovación captura el habla y las expresiones faciales en una representación realista. </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Sus capacidades conversacionales involucran a los usuarios en un </w:t>
      </w:r>
      <w:r w:rsidDel="00000000" w:rsidR="00000000" w:rsidRPr="00000000">
        <w:rPr>
          <w:b w:val="1"/>
          <w:sz w:val="20"/>
          <w:szCs w:val="20"/>
          <w:rtl w:val="0"/>
        </w:rPr>
        <w:t xml:space="preserve">diálogo natural y dinámico</w:t>
      </w:r>
      <w:r w:rsidDel="00000000" w:rsidR="00000000" w:rsidRPr="00000000">
        <w:rPr>
          <w:sz w:val="20"/>
          <w:szCs w:val="20"/>
          <w:rtl w:val="0"/>
        </w:rPr>
        <w:t xml:space="preserve"> para comprender, entre otras cuestiones, la tolerancia al riesgo, los hábitos de gasto, las estrategias de inversión y los objetivos financieros. Tras recopilar información en tiempo real sobre datos demográficos y ubicaciones, permite a las empresas dar </w:t>
      </w:r>
      <w:r w:rsidDel="00000000" w:rsidR="00000000" w:rsidRPr="00000000">
        <w:rPr>
          <w:b w:val="1"/>
          <w:sz w:val="20"/>
          <w:szCs w:val="20"/>
          <w:rtl w:val="0"/>
        </w:rPr>
        <w:t xml:space="preserve">asesoramiento y orientación hiper personalizados</w:t>
      </w:r>
      <w:r w:rsidDel="00000000" w:rsidR="00000000" w:rsidRPr="00000000">
        <w:rPr>
          <w:sz w:val="20"/>
          <w:szCs w:val="20"/>
          <w:rtl w:val="0"/>
        </w:rPr>
        <w:t xml:space="preserve"> hacia objetivos específicos de sus clientes, como puede ser la compra de una casa, por ejemplo.</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Al respecto, </w:t>
      </w:r>
      <w:r w:rsidDel="00000000" w:rsidR="00000000" w:rsidRPr="00000000">
        <w:rPr>
          <w:b w:val="1"/>
          <w:sz w:val="20"/>
          <w:szCs w:val="20"/>
          <w:rtl w:val="0"/>
        </w:rPr>
        <w:t xml:space="preserve">Rishi Chohan</w:t>
      </w:r>
      <w:r w:rsidDel="00000000" w:rsidR="00000000" w:rsidRPr="00000000">
        <w:rPr>
          <w:sz w:val="20"/>
          <w:szCs w:val="20"/>
          <w:rtl w:val="0"/>
        </w:rPr>
        <w:t xml:space="preserve">, EVP y Director de BFSI y Minoristas en América del Norte en SoftServe, agrega que “</w:t>
      </w:r>
      <w:r w:rsidDel="00000000" w:rsidR="00000000" w:rsidRPr="00000000">
        <w:rPr>
          <w:i w:val="1"/>
          <w:sz w:val="20"/>
          <w:szCs w:val="20"/>
          <w:rtl w:val="0"/>
        </w:rPr>
        <w:t xml:space="preserve">la inteligencia artificial generativa está creando un nuevo camino para cada tipo de negocio, pero será un cambio de reglas en la transformación de la industria de servicios financieros. En este sentido, Sage es un avance pionero de IA, el primer paso para demostrar el poder de las soluciones de la IAG e iniciar una nueva ola de educación financiera, mediante el uso de orientaciones personalizadas y recursos que históricamente han estado inalcanzables para la mayoría del público en general</w:t>
      </w:r>
      <w:r w:rsidDel="00000000" w:rsidR="00000000" w:rsidRPr="00000000">
        <w:rPr>
          <w:sz w:val="20"/>
          <w:szCs w:val="20"/>
          <w:rtl w:val="0"/>
        </w:rPr>
        <w:t xml:space="preserve">”.</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Se espera que </w:t>
      </w:r>
      <w:r w:rsidDel="00000000" w:rsidR="00000000" w:rsidRPr="00000000">
        <w:rPr>
          <w:i w:val="1"/>
          <w:sz w:val="20"/>
          <w:szCs w:val="20"/>
          <w:rtl w:val="0"/>
        </w:rPr>
        <w:t xml:space="preserve">“Sage, the AI Pathfinder”</w:t>
      </w:r>
      <w:r w:rsidDel="00000000" w:rsidR="00000000" w:rsidRPr="00000000">
        <w:rPr>
          <w:sz w:val="20"/>
          <w:szCs w:val="20"/>
          <w:rtl w:val="0"/>
        </w:rPr>
        <w:t xml:space="preserve"> </w:t>
      </w:r>
      <w:r w:rsidDel="00000000" w:rsidR="00000000" w:rsidRPr="00000000">
        <w:rPr>
          <w:b w:val="1"/>
          <w:sz w:val="20"/>
          <w:szCs w:val="20"/>
          <w:rtl w:val="0"/>
        </w:rPr>
        <w:t xml:space="preserve">revolucione la experiencia del cliente en este sector</w:t>
      </w:r>
      <w:r w:rsidDel="00000000" w:rsidR="00000000" w:rsidRPr="00000000">
        <w:rPr>
          <w:sz w:val="20"/>
          <w:szCs w:val="20"/>
          <w:rtl w:val="0"/>
        </w:rPr>
        <w:t xml:space="preserve">, más allá de los usuarios tradicionales, ofreciendo también conocimientos financieros inteligentes y estrategias prácticas personalizadas para las complejas necesidades de </w:t>
      </w:r>
      <w:r w:rsidDel="00000000" w:rsidR="00000000" w:rsidRPr="00000000">
        <w:rPr>
          <w:b w:val="1"/>
          <w:sz w:val="20"/>
          <w:szCs w:val="20"/>
          <w:rtl w:val="0"/>
        </w:rPr>
        <w:t xml:space="preserve">bancos, </w:t>
      </w:r>
      <w:r w:rsidDel="00000000" w:rsidR="00000000" w:rsidRPr="00000000">
        <w:rPr>
          <w:b w:val="1"/>
          <w:i w:val="1"/>
          <w:sz w:val="20"/>
          <w:szCs w:val="20"/>
          <w:rtl w:val="0"/>
        </w:rPr>
        <w:t xml:space="preserve">fintechs</w:t>
      </w:r>
      <w:r w:rsidDel="00000000" w:rsidR="00000000" w:rsidRPr="00000000">
        <w:rPr>
          <w:b w:val="1"/>
          <w:sz w:val="20"/>
          <w:szCs w:val="20"/>
          <w:rtl w:val="0"/>
        </w:rPr>
        <w:t xml:space="preserve">, nuevas empresas e instituciones</w:t>
      </w:r>
      <w:r w:rsidDel="00000000" w:rsidR="00000000" w:rsidRPr="00000000">
        <w:rPr>
          <w:sz w:val="20"/>
          <w:szCs w:val="20"/>
          <w:rtl w:val="0"/>
        </w:rPr>
        <w:t xml:space="preserve"> de servicios financieros. </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Para </w:t>
      </w:r>
      <w:r w:rsidDel="00000000" w:rsidR="00000000" w:rsidRPr="00000000">
        <w:rPr>
          <w:b w:val="1"/>
          <w:sz w:val="20"/>
          <w:szCs w:val="20"/>
          <w:rtl w:val="0"/>
        </w:rPr>
        <w:t xml:space="preserve">Malcolm Demayo</w:t>
      </w:r>
      <w:r w:rsidDel="00000000" w:rsidR="00000000" w:rsidRPr="00000000">
        <w:rPr>
          <w:sz w:val="20"/>
          <w:szCs w:val="20"/>
          <w:rtl w:val="0"/>
        </w:rPr>
        <w:t xml:space="preserve">, Vicepresidente Global de Servicios Financieros de NVIDIA, la IAG </w:t>
      </w:r>
      <w:r w:rsidDel="00000000" w:rsidR="00000000" w:rsidRPr="00000000">
        <w:rPr>
          <w:b w:val="1"/>
          <w:sz w:val="20"/>
          <w:szCs w:val="20"/>
          <w:rtl w:val="0"/>
        </w:rPr>
        <w:t xml:space="preserve">transformará casi cada parte de la experiencia bancaria</w:t>
      </w:r>
      <w:r w:rsidDel="00000000" w:rsidR="00000000" w:rsidRPr="00000000">
        <w:rPr>
          <w:sz w:val="20"/>
          <w:szCs w:val="20"/>
          <w:rtl w:val="0"/>
        </w:rPr>
        <w:t xml:space="preserve">, desde un servicio al cliente mejorado hasta objetivos de inversión personalizados. “</w:t>
      </w:r>
      <w:r w:rsidDel="00000000" w:rsidR="00000000" w:rsidRPr="00000000">
        <w:rPr>
          <w:i w:val="1"/>
          <w:sz w:val="20"/>
          <w:szCs w:val="20"/>
          <w:rtl w:val="0"/>
        </w:rPr>
        <w:t xml:space="preserve">Estamos trabajando con SoftServe para ofrecer capacidades de avatar digitales que ofrecen experiencias de interés del mejor nivel a los clientes, en cualquier momento y desde cualquier dispositivo</w:t>
      </w:r>
      <w:r w:rsidDel="00000000" w:rsidR="00000000" w:rsidRPr="00000000">
        <w:rPr>
          <w:sz w:val="20"/>
          <w:szCs w:val="20"/>
          <w:rtl w:val="0"/>
        </w:rPr>
        <w:t xml:space="preserve">”.</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Los asistentes a </w:t>
      </w:r>
      <w:hyperlink r:id="rId9">
        <w:r w:rsidDel="00000000" w:rsidR="00000000" w:rsidRPr="00000000">
          <w:rPr>
            <w:color w:val="1155cc"/>
            <w:sz w:val="20"/>
            <w:szCs w:val="20"/>
            <w:u w:val="single"/>
            <w:rtl w:val="0"/>
          </w:rPr>
          <w:t xml:space="preserve">Money20/20 USA</w:t>
        </w:r>
      </w:hyperlink>
      <w:r w:rsidDel="00000000" w:rsidR="00000000" w:rsidRPr="00000000">
        <w:rPr>
          <w:sz w:val="20"/>
          <w:szCs w:val="20"/>
          <w:rtl w:val="0"/>
        </w:rPr>
        <w:t xml:space="preserve">, podrán </w:t>
      </w:r>
      <w:r w:rsidDel="00000000" w:rsidR="00000000" w:rsidRPr="00000000">
        <w:rPr>
          <w:b w:val="1"/>
          <w:sz w:val="20"/>
          <w:szCs w:val="20"/>
          <w:rtl w:val="0"/>
        </w:rPr>
        <w:t xml:space="preserve">interactuar con esta nueva experiencia inmersiva</w:t>
      </w:r>
      <w:r w:rsidDel="00000000" w:rsidR="00000000" w:rsidRPr="00000000">
        <w:rPr>
          <w:sz w:val="20"/>
          <w:szCs w:val="20"/>
          <w:rtl w:val="0"/>
        </w:rPr>
        <w:t xml:space="preserve"> que ofrece educación y decisiones financieras, en el stand núm. 13117 del evento, desde el 22 y hasta el 25 de octubre de 2023. Para más información, favor de visitar este </w:t>
      </w:r>
      <w:hyperlink r:id="rId10">
        <w:r w:rsidDel="00000000" w:rsidR="00000000" w:rsidRPr="00000000">
          <w:rPr>
            <w:color w:val="1155cc"/>
            <w:sz w:val="20"/>
            <w:szCs w:val="20"/>
            <w:u w:val="single"/>
            <w:rtl w:val="0"/>
          </w:rPr>
          <w:t xml:space="preserve">sitio web</w:t>
        </w:r>
      </w:hyperlink>
      <w:r w:rsidDel="00000000" w:rsidR="00000000" w:rsidRPr="00000000">
        <w:rPr>
          <w:sz w:val="20"/>
          <w:szCs w:val="20"/>
          <w:rtl w:val="0"/>
        </w:rPr>
        <w:t xml:space="preserve">.</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16">
      <w:pPr>
        <w:spacing w:line="276" w:lineRule="auto"/>
        <w:jc w:val="both"/>
        <w:rPr>
          <w:b w:val="1"/>
          <w:sz w:val="16"/>
          <w:szCs w:val="16"/>
        </w:rPr>
      </w:pPr>
      <w:r w:rsidDel="00000000" w:rsidR="00000000" w:rsidRPr="00000000">
        <w:rPr>
          <w:b w:val="1"/>
          <w:sz w:val="16"/>
          <w:szCs w:val="16"/>
          <w:rtl w:val="0"/>
        </w:rPr>
        <w:t xml:space="preserve">Acerca de </w:t>
      </w:r>
      <w:r w:rsidDel="00000000" w:rsidR="00000000" w:rsidRPr="00000000">
        <w:rPr>
          <w:b w:val="1"/>
          <w:sz w:val="16"/>
          <w:szCs w:val="16"/>
          <w:rtl w:val="0"/>
        </w:rPr>
        <w:t xml:space="preserve">SoftServe</w:t>
      </w:r>
      <w:r w:rsidDel="00000000" w:rsidR="00000000" w:rsidRPr="00000000">
        <w:rPr>
          <w:rtl w:val="0"/>
        </w:rPr>
      </w:r>
    </w:p>
    <w:p w:rsidR="00000000" w:rsidDel="00000000" w:rsidP="00000000" w:rsidRDefault="00000000" w:rsidRPr="00000000" w14:paraId="00000017">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18">
      <w:pPr>
        <w:spacing w:line="276" w:lineRule="auto"/>
        <w:jc w:val="both"/>
        <w:rPr>
          <w:sz w:val="16"/>
          <w:szCs w:val="16"/>
        </w:rPr>
      </w:pPr>
      <w:hyperlink r:id="rId11">
        <w:r w:rsidDel="00000000" w:rsidR="00000000" w:rsidRPr="00000000">
          <w:rPr>
            <w:color w:val="1155cc"/>
            <w:sz w:val="16"/>
            <w:szCs w:val="16"/>
            <w:u w:val="single"/>
            <w:rtl w:val="0"/>
          </w:rPr>
          <w:t xml:space="preserve">SoftServe</w:t>
        </w:r>
      </w:hyperlink>
      <w:r w:rsidDel="00000000" w:rsidR="00000000" w:rsidRPr="00000000">
        <w:rPr>
          <w:sz w:val="16"/>
          <w:szCs w:val="16"/>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w:t>
      </w:r>
      <w:r w:rsidDel="00000000" w:rsidR="00000000" w:rsidRPr="00000000">
        <w:rPr>
          <w:sz w:val="16"/>
          <w:szCs w:val="16"/>
          <w:rtl w:val="0"/>
        </w:rPr>
        <w:t xml:space="preserve">SoftServe</w:t>
      </w:r>
      <w:r w:rsidDel="00000000" w:rsidR="00000000" w:rsidRPr="00000000">
        <w:rPr>
          <w:sz w:val="16"/>
          <w:szCs w:val="16"/>
          <w:rtl w:val="0"/>
        </w:rPr>
        <w:t xml:space="pre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19">
      <w:pPr>
        <w:spacing w:line="276" w:lineRule="auto"/>
        <w:jc w:val="both"/>
        <w:rPr>
          <w:sz w:val="16"/>
          <w:szCs w:val="16"/>
        </w:rPr>
      </w:pPr>
      <w:r w:rsidDel="00000000" w:rsidR="00000000" w:rsidRPr="00000000">
        <w:rPr>
          <w:rtl w:val="0"/>
        </w:rPr>
      </w:r>
    </w:p>
    <w:p w:rsidR="00000000" w:rsidDel="00000000" w:rsidP="00000000" w:rsidRDefault="00000000" w:rsidRPr="00000000" w14:paraId="0000001A">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Para mayor información, visita </w:t>
      </w:r>
      <w:hyperlink r:id="rId12">
        <w:r w:rsidDel="00000000" w:rsidR="00000000" w:rsidRPr="00000000">
          <w:rPr>
            <w:rFonts w:ascii="Helvetica Neue" w:cs="Helvetica Neue" w:eastAsia="Helvetica Neue" w:hAnsi="Helvetica Neue"/>
            <w:color w:val="1155cc"/>
            <w:sz w:val="16"/>
            <w:szCs w:val="16"/>
            <w:u w:val="single"/>
            <w:rtl w:val="0"/>
          </w:rPr>
          <w:t xml:space="preserve">www.softserveinc.com</w:t>
        </w:r>
      </w:hyperlink>
      <w:r w:rsidDel="00000000" w:rsidR="00000000" w:rsidRPr="00000000">
        <w:rPr>
          <w:rFonts w:ascii="Helvetica Neue" w:cs="Helvetica Neue" w:eastAsia="Helvetica Neue" w:hAnsi="Helvetica Neue"/>
          <w:sz w:val="16"/>
          <w:szCs w:val="16"/>
          <w:rtl w:val="0"/>
        </w:rPr>
        <w:t xml:space="preserve">.</w:t>
      </w:r>
    </w:p>
    <w:p w:rsidR="00000000" w:rsidDel="00000000" w:rsidP="00000000" w:rsidRDefault="00000000" w:rsidRPr="00000000" w14:paraId="0000001B">
      <w:pPr>
        <w:spacing w:line="276" w:lineRule="auto"/>
        <w:jc w:val="both"/>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1C">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O síguenos en:</w:t>
      </w:r>
    </w:p>
    <w:p w:rsidR="00000000" w:rsidDel="00000000" w:rsidP="00000000" w:rsidRDefault="00000000" w:rsidRPr="00000000" w14:paraId="0000001D">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Facebook: </w:t>
      </w:r>
      <w:hyperlink r:id="rId13">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1E">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Twitter: </w:t>
      </w:r>
      <w:hyperlink r:id="rId14">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1F">
      <w:pPr>
        <w:spacing w:line="240" w:lineRule="auto"/>
        <w:jc w:val="both"/>
        <w:rPr>
          <w:sz w:val="20"/>
          <w:szCs w:val="20"/>
        </w:rPr>
      </w:pPr>
      <w:r w:rsidDel="00000000" w:rsidR="00000000" w:rsidRPr="00000000">
        <w:rPr>
          <w:rFonts w:ascii="Helvetica Neue" w:cs="Helvetica Neue" w:eastAsia="Helvetica Neue" w:hAnsi="Helvetica Neue"/>
          <w:sz w:val="16"/>
          <w:szCs w:val="16"/>
          <w:rtl w:val="0"/>
        </w:rPr>
        <w:t xml:space="preserve">LinkedIn: </w:t>
      </w:r>
      <w:hyperlink r:id="rId15">
        <w:r w:rsidDel="00000000" w:rsidR="00000000" w:rsidRPr="00000000">
          <w:rPr>
            <w:rFonts w:ascii="Helvetica Neue" w:cs="Helvetica Neue" w:eastAsia="Helvetica Neue" w:hAnsi="Helvetica Neue"/>
            <w:color w:val="1155cc"/>
            <w:sz w:val="16"/>
            <w:szCs w:val="16"/>
            <w:u w:val="single"/>
            <w:rtl w:val="0"/>
          </w:rPr>
          <w:t xml:space="preserve">@softserve</w:t>
        </w:r>
      </w:hyperlink>
      <w:r w:rsidDel="00000000" w:rsidR="00000000" w:rsidRPr="00000000">
        <w:rPr>
          <w:rFonts w:ascii="Helvetica Neue" w:cs="Helvetica Neue" w:eastAsia="Helvetica Neue" w:hAnsi="Helvetica Neue"/>
          <w:sz w:val="16"/>
          <w:szCs w:val="16"/>
          <w:rtl w:val="0"/>
        </w:rPr>
        <w:t xml:space="preserve"> </w:t>
        <w:br w:type="textWrapping"/>
        <w:t xml:space="preserve">Blog: </w:t>
      </w:r>
      <w:hyperlink r:id="rId16">
        <w:r w:rsidDel="00000000" w:rsidR="00000000" w:rsidRPr="00000000">
          <w:rPr>
            <w:rFonts w:ascii="Helvetica Neue" w:cs="Helvetica Neue" w:eastAsia="Helvetica Neue" w:hAnsi="Helvetica Neue"/>
            <w:color w:val="1155cc"/>
            <w:sz w:val="16"/>
            <w:szCs w:val="16"/>
            <w:u w:val="single"/>
            <w:rtl w:val="0"/>
          </w:rPr>
          <w:t xml:space="preserve">www.softserveinc.com/en-us/blog</w:t>
        </w:r>
      </w:hyperlink>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drawing>
        <wp:inline distB="114300" distT="114300" distL="114300" distR="114300">
          <wp:extent cx="1576388" cy="4922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ftserveinc.com/en-us" TargetMode="External"/><Relationship Id="rId10" Type="http://schemas.openxmlformats.org/officeDocument/2006/relationships/hyperlink" Target="https://aisage.softserveinc.com/" TargetMode="External"/><Relationship Id="rId13" Type="http://schemas.openxmlformats.org/officeDocument/2006/relationships/hyperlink" Target="https://www.facebook.com/SoftServeInc" TargetMode="External"/><Relationship Id="rId12" Type="http://schemas.openxmlformats.org/officeDocument/2006/relationships/hyperlink" Target="https://www.softservein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ney2020.com/" TargetMode="External"/><Relationship Id="rId15" Type="http://schemas.openxmlformats.org/officeDocument/2006/relationships/hyperlink" Target="https://www.linkedin.com/company/softserve/" TargetMode="External"/><Relationship Id="rId14" Type="http://schemas.openxmlformats.org/officeDocument/2006/relationships/hyperlink" Target="https://twitter.com/SoftServeInc" TargetMode="External"/><Relationship Id="rId17" Type="http://schemas.openxmlformats.org/officeDocument/2006/relationships/header" Target="header1.xml"/><Relationship Id="rId16" Type="http://schemas.openxmlformats.org/officeDocument/2006/relationships/hyperlink" Target="https://www.softserveinc.com/en-us/blog" TargetMode="External"/><Relationship Id="rId5" Type="http://schemas.openxmlformats.org/officeDocument/2006/relationships/styles" Target="styles.xml"/><Relationship Id="rId6" Type="http://schemas.openxmlformats.org/officeDocument/2006/relationships/hyperlink" Target="https://www.softserveinc.com/" TargetMode="External"/><Relationship Id="rId7" Type="http://schemas.openxmlformats.org/officeDocument/2006/relationships/hyperlink" Target="https://developer.nvidia.com/omniverse/ace" TargetMode="External"/><Relationship Id="rId8" Type="http://schemas.openxmlformats.org/officeDocument/2006/relationships/hyperlink" Target="https://www.momentive.ai/en/blog/cnbc-financial-literacy-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